
<file path=[Content_Types].xml><?xml version="1.0" encoding="utf-8"?>
<Types xmlns="http://schemas.openxmlformats.org/package/2006/content-types">
  <Default Extension="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</Types>
</file>

<file path=_rels/.rels><?xml version="1.0" encoding="utf-8"?><Relationships xmlns="http://schemas.openxmlformats.org/package/2006/relationships"><Relationship Id="R00C6AB6F" Type="http://schemas.openxmlformats.org/officeDocument/2006/relationships/officeDocument" Target="/word/document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jc w:val="right"/>
        <w:rPr>
          <w:sz w:val="24"/>
        </w:rPr>
      </w:pPr>
    </w:p>
    <w:p>
      <w:pPr>
        <w:jc w:val="right"/>
        <w:rPr>
          <w:b w:val="1"/>
          <w:sz w:val="24"/>
        </w:rPr>
      </w:pPr>
      <w:r>
        <w:rPr>
          <w:b w:val="1"/>
          <w:sz w:val="24"/>
        </w:rPr>
        <w:t>Załącznik nr 3</w:t>
      </w:r>
    </w:p>
    <w:p>
      <w:pPr>
        <w:rPr>
          <w:b w:val="1"/>
          <w:sz w:val="24"/>
        </w:rPr>
      </w:pPr>
    </w:p>
    <w:p>
      <w:pPr>
        <w:spacing w:lineRule="auto" w:line="360" w:beforeAutospacing="0" w:afterAutospacing="0"/>
        <w:jc w:val="both"/>
        <w:rPr>
          <w:sz w:val="24"/>
        </w:rPr>
      </w:pPr>
      <w:r>
        <w:rPr>
          <w:sz w:val="24"/>
        </w:rPr>
        <w:t>Zgodnie z art. 13 ust.1 i ust.2 Rozporządzenia Parlamentu Europejskiego i Rady (UE) 2016/679 z dnia 27 kwietnia 2016 r. w sprawie ochrony osób fizycznych w związku z przetwarzaniem danych osobowych i w sprawie swobodnego przepływu takich danych oraz uchylenia dyrektywy 95/46/WE, obowiązującego od 25 maja 2018 r., informujemy iż:</w:t>
      </w:r>
    </w:p>
    <w:p>
      <w:pPr>
        <w:numPr>
          <w:ilvl w:val="0"/>
          <w:numId w:val="8"/>
        </w:numPr>
        <w:spacing w:lineRule="auto" w:line="360" w:beforeAutospacing="0" w:afterAutospacing="0"/>
        <w:jc w:val="both"/>
        <w:rPr>
          <w:sz w:val="24"/>
        </w:rPr>
      </w:pPr>
      <w:r>
        <w:rPr>
          <w:sz w:val="24"/>
        </w:rPr>
        <w:t>Administratorem danych osobowych jest Spółka pod firmą Bytomskie Wodociągi Spółka z o.o. w Bytomiu z siedzibą przy Pl. Kościuszki 11, 41-902 Bytom, zarejestrowana w Sądzie Rejonowym Katowice-Wschód w Katowicach Wydział VII Gospodarczy Krajowego Rejestru Sądowego pod nr KRS 0000016744.</w:t>
      </w:r>
    </w:p>
    <w:p>
      <w:pPr>
        <w:numPr>
          <w:ilvl w:val="0"/>
          <w:numId w:val="8"/>
        </w:numPr>
        <w:spacing w:lineRule="auto" w:line="360" w:beforeAutospacing="0" w:afterAutospacing="0"/>
        <w:jc w:val="both"/>
        <w:rPr>
          <w:sz w:val="24"/>
        </w:rPr>
      </w:pPr>
      <w:r>
        <w:rPr>
          <w:sz w:val="24"/>
        </w:rPr>
        <w:t xml:space="preserve">W sprawach związanych z przetwarzaniem danych osobowych prosimy o kontakt z Inspektorem Ochrony Danych Osobowych na adres                                                    e-mail: </w:t>
      </w:r>
      <w:r>
        <w:rPr>
          <w:sz w:val="24"/>
        </w:rPr>
        <w:fldChar w:fldCharType="begin"/>
      </w:r>
      <w:r>
        <w:rPr>
          <w:sz w:val="24"/>
        </w:rPr>
        <w:instrText>HYPERLINK "mailto:iod@bytomskiewodociagi.pl"</w:instrText>
      </w:r>
      <w:r>
        <w:rPr>
          <w:sz w:val="24"/>
        </w:rPr>
        <w:fldChar w:fldCharType="separate"/>
      </w:r>
      <w:r>
        <w:rPr>
          <w:rStyle w:val="C2"/>
          <w:color w:val="auto"/>
          <w:sz w:val="24"/>
          <w:u w:val="none"/>
        </w:rPr>
        <w:t>iod@bytomskiewodociagi.pl</w:t>
      </w:r>
      <w:r>
        <w:rPr>
          <w:rStyle w:val="C2"/>
          <w:color w:val="auto"/>
          <w:sz w:val="24"/>
          <w:u w:val="none"/>
        </w:rPr>
        <w:fldChar w:fldCharType="end"/>
      </w:r>
    </w:p>
    <w:p>
      <w:pPr>
        <w:numPr>
          <w:ilvl w:val="0"/>
          <w:numId w:val="8"/>
        </w:numPr>
        <w:spacing w:lineRule="auto" w:line="360" w:beforeAutospacing="0" w:afterAutospacing="0"/>
        <w:jc w:val="both"/>
        <w:rPr>
          <w:sz w:val="24"/>
        </w:rPr>
      </w:pPr>
      <w:r>
        <w:rPr>
          <w:sz w:val="24"/>
        </w:rPr>
        <w:t xml:space="preserve">Dane zbierane są w związku ze świadczonymi przez Bytomskie Wodociągi  Spółkę z o.o. usługami o zaopatrzenie w wodę i odprowadzenie ścieków, zgodnie z Ustawą z dnia 7 czerwca 2001 r. o zbiorowym zaopatrzeniu w wodę i zbiorowym odprowadzeniu ścieków oraz na potrzeby świadczonych przez Spółkę usług dodatkowych.</w:t>
      </w:r>
    </w:p>
    <w:p>
      <w:pPr>
        <w:numPr>
          <w:ilvl w:val="0"/>
          <w:numId w:val="8"/>
        </w:numPr>
        <w:spacing w:lineRule="auto" w:line="360" w:beforeAutospacing="0" w:afterAutospacing="0"/>
        <w:jc w:val="both"/>
        <w:rPr>
          <w:sz w:val="24"/>
        </w:rPr>
      </w:pPr>
      <w:r>
        <w:rPr>
          <w:sz w:val="24"/>
        </w:rPr>
        <w:t>Zebrane dane mogą być udostępnione podmiotom trzecim świadczącym na rzecz Bytomskich Wodociągów Sp. z o.o. czynności ściśle związane z działalnością Spółki, to jest działalnością związaną z zaopatrzeniem w wodę i odprowadzenie ścieków.</w:t>
      </w:r>
    </w:p>
    <w:p>
      <w:pPr>
        <w:numPr>
          <w:ilvl w:val="0"/>
          <w:numId w:val="8"/>
        </w:numPr>
        <w:spacing w:lineRule="auto" w:line="360" w:beforeAutospacing="0" w:afterAutospacing="0"/>
        <w:jc w:val="both"/>
        <w:rPr>
          <w:sz w:val="24"/>
        </w:rPr>
      </w:pPr>
      <w:r>
        <w:rPr>
          <w:sz w:val="24"/>
        </w:rPr>
        <w:t>Dane osobowe będą przechowywane przez cały okres trwania umowy i przez okres nie dłuższy niż to będzie niezbędne do realizacji zadań świadczonych przez Bytomskie Wodociągi Spółkę z o.o. przedłużony o okres przedawnienia ewentualnych roszczeń z tytułu wykonywania tychże zadań, o ile przechowywanie danych przez okres dłuższy nie wynika z przepisów prawa.</w:t>
      </w:r>
    </w:p>
    <w:p>
      <w:pPr>
        <w:numPr>
          <w:ilvl w:val="0"/>
          <w:numId w:val="8"/>
        </w:numPr>
        <w:spacing w:lineRule="auto" w:line="360" w:beforeAutospacing="0" w:afterAutospacing="0"/>
        <w:jc w:val="both"/>
        <w:rPr>
          <w:sz w:val="24"/>
        </w:rPr>
      </w:pPr>
      <w:r>
        <w:rPr>
          <w:sz w:val="24"/>
        </w:rPr>
        <w:t>Każdemu przysługuje prawo dostępu do treści danych osobowych przetwarzanych przez Bytomskie Wodociągi Spółkę z o.o. oraz ich sprostowania, usunięcia oraz ograniczenia przetwarzania lub o prawie do wniesienia sprzeciwu wobec przetwarzania, a także o prawie do przenoszenia danych na warunkach określonych w ustawie o ochronie danych osobowych. Prawo do ograniczenia przetwarzania nie ma zastosowania w odniesieniu do przechowywania, w celu zapewnienia korzystania ze środków ochrony prawnej.</w:t>
      </w:r>
    </w:p>
    <w:p>
      <w:pPr>
        <w:numPr>
          <w:ilvl w:val="0"/>
          <w:numId w:val="8"/>
        </w:numPr>
        <w:spacing w:lineRule="auto" w:line="360" w:beforeAutospacing="0" w:afterAutospacing="0"/>
        <w:jc w:val="both"/>
        <w:rPr>
          <w:sz w:val="24"/>
        </w:rPr>
      </w:pPr>
      <w:r>
        <w:rPr>
          <w:sz w:val="24"/>
        </w:rPr>
        <w:t>Ma Pan/Pani prawo wniesienia skargi do Prezesa Urzędu Ochrony Danych Osobowych, gdy uzna Pan/Pani, iż przetwarzanie danych osobowych Pana /Panią dotyczących narusza przepisy ogólne rozporządzenia o ochronie danych osobowych z dnia 27 kwietnia 2016 r.</w:t>
      </w:r>
    </w:p>
    <w:p>
      <w:pPr>
        <w:numPr>
          <w:ilvl w:val="0"/>
          <w:numId w:val="8"/>
        </w:numPr>
        <w:spacing w:lineRule="auto" w:line="360" w:beforeAutospacing="0" w:afterAutospacing="0"/>
        <w:jc w:val="both"/>
        <w:rPr>
          <w:sz w:val="24"/>
        </w:rPr>
      </w:pPr>
      <w:r>
        <w:rPr>
          <w:sz w:val="24"/>
        </w:rPr>
        <w:t>Podanie danych jest niezbędne do zawarcia i realizacji umowy, a także wynika z przepisów prawa. W sytuacji dobrowolności podania danych osoby będą o tym fakcie informowane.</w:t>
      </w:r>
    </w:p>
    <w:p>
      <w:pPr>
        <w:jc w:val="both"/>
      </w:pPr>
    </w:p>
    <w:sectPr>
      <w:footerReference xmlns:r="http://schemas.openxmlformats.org/officeDocument/2006/relationships" w:type="default" r:id="RelFtr1"/>
      <w:type w:val="nextPage"/>
      <w:pgSz w:w="11906" w:h="16838" w:code="9"/>
      <w:pgMar w:left="1417" w:right="1417" w:top="1418" w:bottom="851" w:header="708" w:footer="713" w:gutter="0"/>
    </w:sectPr>
  </w:body>
</w:document>
</file>

<file path=word/footer1.xml><?xml version="1.0" encoding="utf-8"?>
<w:ft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8"/>
      <w:ind w:right="360"/>
    </w:pPr>
  </w:p>
</w:ftr>
</file>

<file path=word/numbering.xml><?xml version="1.0" encoding="utf-8"?>
<w:numbering xmlns:w="http://schemas.openxmlformats.org/wordprocessingml/2006/main">
  <w:abstractNum w:abstractNumId="0">
    <w:nsid w:val="00000001"/>
    <w:multiLevelType w:val="multilevel"/>
    <w:lvl w:ilvl="0">
      <w:start w:val="1"/>
      <w:numFmt w:val="none"/>
      <w:suff w:val="nothing"/>
      <w:lvlText w:val=""/>
      <w:lvlJc w:val="left"/>
      <w:pPr>
        <w:ind w:hanging="432" w:left="432"/>
        <w:tabs>
          <w:tab w:val="left" w:pos="432" w:leader="none"/>
        </w:tabs>
      </w:pPr>
      <w:rPr/>
    </w:lvl>
    <w:lvl w:ilvl="1">
      <w:start w:val="1"/>
      <w:numFmt w:val="none"/>
      <w:suff w:val="nothing"/>
      <w:lvlText w:val=""/>
      <w:lvlJc w:val="left"/>
      <w:pPr>
        <w:ind w:hanging="576" w:left="576"/>
        <w:tabs>
          <w:tab w:val="left" w:pos="576" w:leader="none"/>
        </w:tabs>
      </w:pPr>
      <w:rPr/>
    </w:lvl>
    <w:lvl w:ilvl="2">
      <w:start w:val="1"/>
      <w:numFmt w:val="none"/>
      <w:suff w:val="nothing"/>
      <w:lvlText w:val=""/>
      <w:lvlJc w:val="left"/>
      <w:pPr>
        <w:ind w:hanging="720" w:left="720"/>
        <w:tabs>
          <w:tab w:val="left" w:pos="720" w:leader="none"/>
        </w:tabs>
      </w:pPr>
      <w:rPr/>
    </w:lvl>
    <w:lvl w:ilvl="3">
      <w:start w:val="1"/>
      <w:numFmt w:val="none"/>
      <w:suff w:val="nothing"/>
      <w:lvlText w:val=""/>
      <w:lvlJc w:val="left"/>
      <w:pPr>
        <w:ind w:hanging="864" w:left="864"/>
        <w:tabs>
          <w:tab w:val="left" w:pos="864" w:leader="none"/>
        </w:tabs>
      </w:pPr>
      <w:rPr/>
    </w:lvl>
    <w:lvl w:ilvl="4">
      <w:start w:val="1"/>
      <w:numFmt w:val="none"/>
      <w:suff w:val="nothing"/>
      <w:lvlText w:val=""/>
      <w:lvlJc w:val="left"/>
      <w:pPr>
        <w:ind w:hanging="1008" w:left="1008"/>
        <w:tabs>
          <w:tab w:val="left" w:pos="1008" w:leader="none"/>
        </w:tabs>
      </w:pPr>
      <w:rPr/>
    </w:lvl>
    <w:lvl w:ilvl="5">
      <w:start w:val="1"/>
      <w:numFmt w:val="none"/>
      <w:suff w:val="nothing"/>
      <w:lvlText w:val=""/>
      <w:lvlJc w:val="left"/>
      <w:pPr>
        <w:ind w:hanging="1152" w:left="1152"/>
        <w:tabs>
          <w:tab w:val="left" w:pos="1152" w:leader="none"/>
        </w:tabs>
      </w:pPr>
      <w:rPr/>
    </w:lvl>
    <w:lvl w:ilvl="6">
      <w:start w:val="1"/>
      <w:numFmt w:val="none"/>
      <w:suff w:val="nothing"/>
      <w:lvlText w:val=""/>
      <w:lvlJc w:val="left"/>
      <w:pPr>
        <w:ind w:hanging="1296" w:left="1296"/>
        <w:tabs>
          <w:tab w:val="left" w:pos="1296" w:leader="none"/>
        </w:tabs>
      </w:pPr>
      <w:rPr/>
    </w:lvl>
    <w:lvl w:ilvl="7">
      <w:start w:val="1"/>
      <w:numFmt w:val="none"/>
      <w:suff w:val="nothing"/>
      <w:lvlText w:val=""/>
      <w:lvlJc w:val="left"/>
      <w:pPr>
        <w:ind w:hanging="1440" w:left="1440"/>
        <w:tabs>
          <w:tab w:val="left" w:pos="1440" w:leader="none"/>
        </w:tabs>
      </w:pPr>
      <w:rPr/>
    </w:lvl>
    <w:lvl w:ilvl="8">
      <w:start w:val="1"/>
      <w:numFmt w:val="none"/>
      <w:suff w:val="nothing"/>
      <w:lvlText w:val=""/>
      <w:lvlJc w:val="left"/>
      <w:pPr>
        <w:ind w:hanging="1584" w:left="1584"/>
        <w:tabs>
          <w:tab w:val="left" w:pos="1584" w:leader="none"/>
        </w:tabs>
      </w:pPr>
      <w:rPr/>
    </w:lvl>
  </w:abstractNum>
  <w:abstractNum w:abstractNumId="1">
    <w:nsid w:val="00000002"/>
    <w:multiLevelType w:val="hybridMultilevel"/>
    <w:lvl w:ilvl="0">
      <w:start w:val="1"/>
      <w:numFmt w:val="decimal"/>
      <w:suff w:val="tab"/>
      <w:lvlText w:val="%1)"/>
      <w:lvlJc w:val="left"/>
      <w:pPr>
        <w:ind w:hanging="360" w:left="720"/>
      </w:pPr>
      <w:rPr>
        <w:b w:val="0"/>
        <w:i w:val="0"/>
        <w:sz w:val="24"/>
      </w:rPr>
    </w:lvl>
    <w:lvl w:ilvl="1" w:tplc="5FE3AF83">
      <w:start w:val="1"/>
      <w:numFmt w:val="decimal"/>
      <w:suff w:val="tab"/>
      <w:lvlText w:val="%1."/>
      <w:lvlJc w:val="left"/>
      <w:pPr/>
      <w:rPr/>
    </w:lvl>
    <w:lvl w:ilvl="2" w:tplc="5FF17C93">
      <w:start w:val="1"/>
      <w:numFmt w:val="decimal"/>
      <w:suff w:val="tab"/>
      <w:lvlText w:val="%1."/>
      <w:lvlJc w:val="left"/>
      <w:pPr/>
      <w:rPr/>
    </w:lvl>
    <w:lvl w:ilvl="3" w:tplc="6A76FFD1">
      <w:start w:val="1"/>
      <w:numFmt w:val="decimal"/>
      <w:suff w:val="tab"/>
      <w:lvlText w:val="%1."/>
      <w:lvlJc w:val="left"/>
      <w:pPr/>
      <w:rPr/>
    </w:lvl>
    <w:lvl w:ilvl="4" w:tplc="255D1AF8">
      <w:start w:val="1"/>
      <w:numFmt w:val="decimal"/>
      <w:suff w:val="tab"/>
      <w:lvlText w:val="%1."/>
      <w:lvlJc w:val="left"/>
      <w:pPr/>
      <w:rPr/>
    </w:lvl>
    <w:lvl w:ilvl="5" w:tplc="2A7851FC">
      <w:start w:val="1"/>
      <w:numFmt w:val="decimal"/>
      <w:suff w:val="tab"/>
      <w:lvlText w:val="%1."/>
      <w:lvlJc w:val="left"/>
      <w:pPr/>
      <w:rPr/>
    </w:lvl>
    <w:lvl w:ilvl="6" w:tplc="78D7DEA7">
      <w:start w:val="1"/>
      <w:numFmt w:val="decimal"/>
      <w:suff w:val="tab"/>
      <w:lvlText w:val="%1."/>
      <w:lvlJc w:val="left"/>
      <w:pPr/>
      <w:rPr/>
    </w:lvl>
    <w:lvl w:ilvl="7" w:tplc="73D3031C">
      <w:start w:val="1"/>
      <w:numFmt w:val="decimal"/>
      <w:suff w:val="tab"/>
      <w:lvlText w:val="%1."/>
      <w:lvlJc w:val="left"/>
      <w:pPr/>
      <w:rPr/>
    </w:lvl>
    <w:lvl w:ilvl="8" w:tplc="50D5A377">
      <w:start w:val="1"/>
      <w:numFmt w:val="decimal"/>
      <w:suff w:val="tab"/>
      <w:lvlText w:val="%1."/>
      <w:lvlJc w:val="left"/>
      <w:pPr/>
      <w:rPr/>
    </w:lvl>
  </w:abstractNum>
  <w:abstractNum w:abstractNumId="2">
    <w:nsid w:val="00000003"/>
    <w:multiLevelType w:val="hybrid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0" w:leader="none"/>
        </w:tabs>
      </w:pPr>
      <w:rPr>
        <w:b w:val="0"/>
        <w:sz w:val="24"/>
      </w:rPr>
    </w:lvl>
    <w:lvl w:ilvl="1" w:tplc="416CABFD">
      <w:start w:val="1"/>
      <w:numFmt w:val="decimal"/>
      <w:suff w:val="tab"/>
      <w:lvlText w:val="%1."/>
      <w:lvlJc w:val="left"/>
      <w:pPr/>
      <w:rPr/>
    </w:lvl>
    <w:lvl w:ilvl="2" w:tplc="2F919C23">
      <w:start w:val="1"/>
      <w:numFmt w:val="decimal"/>
      <w:suff w:val="tab"/>
      <w:lvlText w:val="%1."/>
      <w:lvlJc w:val="left"/>
      <w:pPr/>
      <w:rPr/>
    </w:lvl>
    <w:lvl w:ilvl="3" w:tplc="761F95A2">
      <w:start w:val="1"/>
      <w:numFmt w:val="decimal"/>
      <w:suff w:val="tab"/>
      <w:lvlText w:val="%1."/>
      <w:lvlJc w:val="left"/>
      <w:pPr/>
      <w:rPr/>
    </w:lvl>
    <w:lvl w:ilvl="4" w:tplc="4037EA4D">
      <w:start w:val="1"/>
      <w:numFmt w:val="decimal"/>
      <w:suff w:val="tab"/>
      <w:lvlText w:val="%1."/>
      <w:lvlJc w:val="left"/>
      <w:pPr/>
      <w:rPr/>
    </w:lvl>
    <w:lvl w:ilvl="5" w:tplc="5415C95D">
      <w:start w:val="1"/>
      <w:numFmt w:val="decimal"/>
      <w:suff w:val="tab"/>
      <w:lvlText w:val="%1."/>
      <w:lvlJc w:val="left"/>
      <w:pPr/>
      <w:rPr/>
    </w:lvl>
    <w:lvl w:ilvl="6" w:tplc="5C484767">
      <w:start w:val="1"/>
      <w:numFmt w:val="decimal"/>
      <w:suff w:val="tab"/>
      <w:lvlText w:val="%1."/>
      <w:lvlJc w:val="left"/>
      <w:pPr/>
      <w:rPr/>
    </w:lvl>
    <w:lvl w:ilvl="7" w:tplc="531E67FE">
      <w:start w:val="1"/>
      <w:numFmt w:val="decimal"/>
      <w:suff w:val="tab"/>
      <w:lvlText w:val="%1."/>
      <w:lvlJc w:val="left"/>
      <w:pPr/>
      <w:rPr/>
    </w:lvl>
    <w:lvl w:ilvl="8" w:tplc="36355CCF">
      <w:start w:val="1"/>
      <w:numFmt w:val="decimal"/>
      <w:suff w:val="tab"/>
      <w:lvlText w:val="%1."/>
      <w:lvlJc w:val="left"/>
      <w:pPr/>
      <w:rPr/>
    </w:lvl>
  </w:abstractNum>
  <w:abstractNum w:abstractNumId="3">
    <w:nsid w:val="00000004"/>
    <w:multiLevelType w:val="hybrid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0" w:leader="none"/>
        </w:tabs>
      </w:pPr>
      <w:rPr>
        <w:b w:val="0"/>
        <w:sz w:val="24"/>
      </w:rPr>
    </w:lvl>
    <w:lvl w:ilvl="1" w:tplc="394FA46B">
      <w:start w:val="1"/>
      <w:numFmt w:val="decimal"/>
      <w:suff w:val="tab"/>
      <w:lvlText w:val="%1."/>
      <w:lvlJc w:val="left"/>
      <w:pPr/>
      <w:rPr/>
    </w:lvl>
    <w:lvl w:ilvl="2" w:tplc="46052FCE">
      <w:start w:val="1"/>
      <w:numFmt w:val="decimal"/>
      <w:suff w:val="tab"/>
      <w:lvlText w:val="%1."/>
      <w:lvlJc w:val="left"/>
      <w:pPr/>
      <w:rPr/>
    </w:lvl>
    <w:lvl w:ilvl="3" w:tplc="61611B06">
      <w:start w:val="1"/>
      <w:numFmt w:val="decimal"/>
      <w:suff w:val="tab"/>
      <w:lvlText w:val="%1."/>
      <w:lvlJc w:val="left"/>
      <w:pPr/>
      <w:rPr/>
    </w:lvl>
    <w:lvl w:ilvl="4" w:tplc="1F05AEB4">
      <w:start w:val="1"/>
      <w:numFmt w:val="decimal"/>
      <w:suff w:val="tab"/>
      <w:lvlText w:val="%1."/>
      <w:lvlJc w:val="left"/>
      <w:pPr/>
      <w:rPr/>
    </w:lvl>
    <w:lvl w:ilvl="5" w:tplc="0C6170A4">
      <w:start w:val="1"/>
      <w:numFmt w:val="decimal"/>
      <w:suff w:val="tab"/>
      <w:lvlText w:val="%1."/>
      <w:lvlJc w:val="left"/>
      <w:pPr/>
      <w:rPr/>
    </w:lvl>
    <w:lvl w:ilvl="6" w:tplc="616CA2ED">
      <w:start w:val="1"/>
      <w:numFmt w:val="decimal"/>
      <w:suff w:val="tab"/>
      <w:lvlText w:val="%1."/>
      <w:lvlJc w:val="left"/>
      <w:pPr/>
      <w:rPr/>
    </w:lvl>
    <w:lvl w:ilvl="7" w:tplc="0C8EB45E">
      <w:start w:val="1"/>
      <w:numFmt w:val="decimal"/>
      <w:suff w:val="tab"/>
      <w:lvlText w:val="%1."/>
      <w:lvlJc w:val="left"/>
      <w:pPr/>
      <w:rPr/>
    </w:lvl>
    <w:lvl w:ilvl="8" w:tplc="2F1361F9">
      <w:start w:val="1"/>
      <w:numFmt w:val="decimal"/>
      <w:suff w:val="tab"/>
      <w:lvlText w:val="%1."/>
      <w:lvlJc w:val="left"/>
      <w:pPr/>
      <w:rPr/>
    </w:lvl>
  </w:abstractNum>
  <w:abstractNum w:abstractNumId="4">
    <w:nsid w:val="04F31104"/>
    <w:multiLevelType w:val="hybridMultilevel"/>
    <w:lvl w:ilvl="0" w:tplc="0415000F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/>
    </w:lvl>
    <w:lvl w:ilvl="1" w:tplc="04150019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 w:tplc="0415001B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 w:tplc="0415000F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 w:tplc="04150019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 w:tplc="0415001B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 w:tplc="0415000F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 w:tplc="04150019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 w:tplc="0415001B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5">
    <w:nsid w:val="23F10CB6"/>
    <w:multiLevelType w:val="hybridMultilevel"/>
    <w:lvl w:ilvl="0" w:tplc="0415000F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/>
    </w:lvl>
    <w:lvl w:ilvl="1" w:tplc="04150019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 w:tplc="0415001B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 w:tplc="0415000F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 w:tplc="04150019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 w:tplc="0415001B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 w:tplc="0415000F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 w:tplc="04150019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 w:tplc="0415001B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6">
    <w:nsid w:val="2DDD4109"/>
    <w:multiLevelType w:val="hybridMultilevel"/>
    <w:lvl w:ilvl="0" w:tplc="0415000F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/>
    </w:lvl>
    <w:lvl w:ilvl="1" w:tplc="04150019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 w:tplc="0415001B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 w:tplc="0415000F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 w:tplc="04150019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 w:tplc="0415001B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 w:tplc="0415000F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 w:tplc="04150019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 w:tplc="0415001B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7">
    <w:nsid w:val="3C2755E4"/>
    <w:multiLevelType w:val="hybridMultilevel"/>
    <w:lvl w:ilvl="0" w:tplc="8F58C71A">
      <w:start w:val="1"/>
      <w:numFmt w:val="decimal"/>
      <w:suff w:val="tab"/>
      <w:lvlText w:val="%1."/>
      <w:lvlJc w:val="left"/>
      <w:pPr>
        <w:ind w:hanging="360" w:left="720"/>
      </w:pPr>
      <w:rPr>
        <w:b w:val="0"/>
      </w:rPr>
    </w:lvl>
    <w:lvl w:ilvl="1" w:tplc="04150019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 w:tplc="0415001B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 w:tplc="0415000F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04150019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 w:tplc="0415001B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 w:tplc="0415000F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04150019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 w:tplc="0415001B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7"/>
  </w:num>
  <w:num w:numId="7">
    <w:abstractNumId w:val="4"/>
  </w:num>
  <w:num w:numId="8">
    <w:abstractNumId w:val="6"/>
  </w:num>
</w:numbering>
</file>

<file path=word/settings.xml><?xml version="1.0" encoding="utf-8"?>
<w:settings xmlns:w="http://schemas.openxmlformats.org/wordprocessingml/2006/main">
  <w:displayBackgroundShape w:val="0"/>
  <w:defaultTabStop w:val="708"/>
  <w:autoHyphenation w:val="0"/>
  <w:evenAndOddHeaders w:val="0"/>
  <w:clrSchemeMapping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vertAlign w:val="baseline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suppressAutoHyphens w:val="1"/>
    </w:pPr>
    <w:rPr/>
  </w:style>
  <w:style w:type="paragraph" w:styleId="P1">
    <w:name w:val="heading 1"/>
    <w:basedOn w:val="P0"/>
    <w:next w:val="P0"/>
    <w:qFormat/>
    <w:pPr>
      <w:keepNext w:val="1"/>
      <w:numPr>
        <w:numId w:val="1"/>
      </w:numPr>
      <w:jc w:val="center"/>
      <w:outlineLvl w:val="0"/>
    </w:pPr>
    <w:rPr>
      <w:b w:val="1"/>
      <w:sz w:val="28"/>
    </w:rPr>
  </w:style>
  <w:style w:type="paragraph" w:styleId="P2">
    <w:name w:val="heading 2"/>
    <w:basedOn w:val="P0"/>
    <w:next w:val="P0"/>
    <w:qFormat/>
    <w:pPr>
      <w:keepNext w:val="1"/>
      <w:numPr>
        <w:ilvl w:val="1"/>
        <w:numId w:val="1"/>
      </w:numPr>
      <w:outlineLvl w:val="1"/>
    </w:pPr>
    <w:rPr>
      <w:b w:val="1"/>
      <w:sz w:val="24"/>
    </w:rPr>
  </w:style>
  <w:style w:type="paragraph" w:styleId="P3">
    <w:name w:val="Nagłówek1"/>
    <w:basedOn w:val="P0"/>
    <w:next w:val="P4"/>
    <w:pPr>
      <w:keepNext w:val="1"/>
      <w:spacing w:before="240" w:after="120" w:beforeAutospacing="0" w:afterAutospacing="0"/>
    </w:pPr>
    <w:rPr>
      <w:rFonts w:ascii="Liberation Sans" w:hAnsi="Liberation Sans"/>
      <w:sz w:val="28"/>
    </w:rPr>
  </w:style>
  <w:style w:type="paragraph" w:styleId="P4">
    <w:name w:val="Body Text"/>
    <w:basedOn w:val="P0"/>
    <w:pPr>
      <w:spacing w:lineRule="auto" w:line="288" w:after="140" w:beforeAutospacing="0" w:afterAutospacing="0"/>
    </w:pPr>
    <w:rPr/>
  </w:style>
  <w:style w:type="paragraph" w:styleId="P5">
    <w:name w:val="List"/>
    <w:basedOn w:val="P4"/>
    <w:pPr/>
    <w:rPr/>
  </w:style>
  <w:style w:type="paragraph" w:styleId="P6">
    <w:name w:val="caption"/>
    <w:basedOn w:val="P0"/>
    <w:qFormat/>
    <w:pPr>
      <w:suppressLineNumbers w:val="1"/>
      <w:spacing w:before="120" w:after="120" w:beforeAutospacing="0" w:afterAutospacing="0"/>
    </w:pPr>
    <w:rPr>
      <w:i w:val="1"/>
      <w:sz w:val="24"/>
    </w:rPr>
  </w:style>
  <w:style w:type="paragraph" w:styleId="P7">
    <w:name w:val="Indeks"/>
    <w:basedOn w:val="P0"/>
    <w:pPr>
      <w:suppressLineNumbers w:val="1"/>
    </w:pPr>
    <w:rPr/>
  </w:style>
  <w:style w:type="paragraph" w:styleId="P8">
    <w:name w:val="footer"/>
    <w:basedOn w:val="P0"/>
    <w:pPr>
      <w:tabs>
        <w:tab w:val="center" w:pos="4536" w:leader="none"/>
        <w:tab w:val="right" w:pos="9072" w:leader="none"/>
      </w:tabs>
    </w:pPr>
    <w:rPr/>
  </w:style>
  <w:style w:type="paragraph" w:styleId="P9">
    <w:name w:val="endnote text"/>
    <w:basedOn w:val="P0"/>
    <w:pPr/>
    <w:rPr/>
  </w:style>
  <w:style w:type="paragraph" w:styleId="P10">
    <w:name w:val="header"/>
    <w:basedOn w:val="P0"/>
    <w:pPr>
      <w:tabs>
        <w:tab w:val="center" w:pos="4536" w:leader="none"/>
        <w:tab w:val="right" w:pos="9072" w:leader="none"/>
      </w:tabs>
    </w:pPr>
    <w:rPr/>
  </w:style>
  <w:style w:type="paragraph" w:styleId="P11">
    <w:name w:val="Zawartość tabeli"/>
    <w:basedOn w:val="P0"/>
    <w:pPr>
      <w:suppressLineNumbers w:val="1"/>
    </w:pPr>
    <w:rPr/>
  </w:style>
  <w:style w:type="paragraph" w:styleId="P12">
    <w:name w:val="Nagłówek tabeli"/>
    <w:basedOn w:val="P11"/>
    <w:pPr>
      <w:jc w:val="center"/>
    </w:pPr>
    <w:rPr>
      <w:b w:val="1"/>
    </w:rPr>
  </w:style>
  <w:style w:type="paragraph" w:styleId="P13">
    <w:name w:val="annotation text"/>
    <w:basedOn w:val="P0"/>
    <w:link w:val="C55"/>
    <w:semiHidden/>
    <w:pPr/>
    <w:rPr/>
  </w:style>
  <w:style w:type="paragraph" w:styleId="P14">
    <w:name w:val="annotation subject"/>
    <w:basedOn w:val="P13"/>
    <w:next w:val="P13"/>
    <w:link w:val="C56"/>
    <w:semiHidden/>
    <w:pPr/>
    <w:rPr>
      <w:b w:val="1"/>
    </w:rPr>
  </w:style>
  <w:style w:type="paragraph" w:styleId="P15">
    <w:name w:val="Balloon Text"/>
    <w:basedOn w:val="P0"/>
    <w:link w:val="C57"/>
    <w:semiHidden/>
    <w:pPr/>
    <w:rPr>
      <w:rFonts w:ascii="Segoe UI" w:hAnsi="Segoe UI"/>
      <w:sz w:val="18"/>
    </w:rPr>
  </w:style>
  <w:style w:type="character" w:styleId="C0" w:default="1">
    <w:name w:val="Default Paragraph Font"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WW8Num1z0"/>
    <w:rPr>
      <w:i w:val="0"/>
      <w:sz w:val="24"/>
    </w:rPr>
  </w:style>
  <w:style w:type="character" w:styleId="C4">
    <w:name w:val="WW8Num1z1"/>
    <w:rPr/>
  </w:style>
  <w:style w:type="character" w:styleId="C5">
    <w:name w:val="WW8Num1z2"/>
    <w:rPr/>
  </w:style>
  <w:style w:type="character" w:styleId="C6">
    <w:name w:val="WW8Num1z3"/>
    <w:rPr/>
  </w:style>
  <w:style w:type="character" w:styleId="C7">
    <w:name w:val="WW8Num1z4"/>
    <w:rPr/>
  </w:style>
  <w:style w:type="character" w:styleId="C8">
    <w:name w:val="WW8Num1z5"/>
    <w:rPr/>
  </w:style>
  <w:style w:type="character" w:styleId="C9">
    <w:name w:val="WW8Num1z6"/>
    <w:rPr/>
  </w:style>
  <w:style w:type="character" w:styleId="C10">
    <w:name w:val="WW8Num1z7"/>
    <w:rPr/>
  </w:style>
  <w:style w:type="character" w:styleId="C11">
    <w:name w:val="WW8Num1z8"/>
    <w:rPr/>
  </w:style>
  <w:style w:type="character" w:styleId="C12">
    <w:name w:val="WW8Num2z0"/>
    <w:rPr>
      <w:b w:val="0"/>
      <w:sz w:val="24"/>
    </w:rPr>
  </w:style>
  <w:style w:type="character" w:styleId="C13">
    <w:name w:val="WW8Num2z1"/>
    <w:rPr/>
  </w:style>
  <w:style w:type="character" w:styleId="C14">
    <w:name w:val="WW8Num2z2"/>
    <w:rPr/>
  </w:style>
  <w:style w:type="character" w:styleId="C15">
    <w:name w:val="WW8Num2z3"/>
    <w:rPr/>
  </w:style>
  <w:style w:type="character" w:styleId="C16">
    <w:name w:val="WW8Num2z4"/>
    <w:rPr/>
  </w:style>
  <w:style w:type="character" w:styleId="C17">
    <w:name w:val="WW8Num2z5"/>
    <w:rPr/>
  </w:style>
  <w:style w:type="character" w:styleId="C18">
    <w:name w:val="WW8Num2z6"/>
    <w:rPr/>
  </w:style>
  <w:style w:type="character" w:styleId="C19">
    <w:name w:val="WW8Num2z7"/>
    <w:rPr/>
  </w:style>
  <w:style w:type="character" w:styleId="C20">
    <w:name w:val="WW8Num2z8"/>
    <w:rPr/>
  </w:style>
  <w:style w:type="character" w:styleId="C21">
    <w:name w:val="WW8Num3z0"/>
    <w:rPr/>
  </w:style>
  <w:style w:type="character" w:styleId="C22">
    <w:name w:val="WW8Num3z1"/>
    <w:rPr/>
  </w:style>
  <w:style w:type="character" w:styleId="C23">
    <w:name w:val="WW8Num3z2"/>
    <w:rPr/>
  </w:style>
  <w:style w:type="character" w:styleId="C24">
    <w:name w:val="WW8Num3z3"/>
    <w:rPr/>
  </w:style>
  <w:style w:type="character" w:styleId="C25">
    <w:name w:val="WW8Num3z4"/>
    <w:rPr/>
  </w:style>
  <w:style w:type="character" w:styleId="C26">
    <w:name w:val="WW8Num3z5"/>
    <w:rPr/>
  </w:style>
  <w:style w:type="character" w:styleId="C27">
    <w:name w:val="WW8Num3z6"/>
    <w:rPr/>
  </w:style>
  <w:style w:type="character" w:styleId="C28">
    <w:name w:val="WW8Num3z7"/>
    <w:rPr/>
  </w:style>
  <w:style w:type="character" w:styleId="C29">
    <w:name w:val="WW8Num3z8"/>
    <w:rPr/>
  </w:style>
  <w:style w:type="character" w:styleId="C30">
    <w:name w:val="WW8Num4z0"/>
    <w:rPr/>
  </w:style>
  <w:style w:type="character" w:styleId="C31">
    <w:name w:val="WW8Num4z1"/>
    <w:rPr/>
  </w:style>
  <w:style w:type="character" w:styleId="C32">
    <w:name w:val="WW8Num4z2"/>
    <w:rPr/>
  </w:style>
  <w:style w:type="character" w:styleId="C33">
    <w:name w:val="WW8Num4z3"/>
    <w:rPr/>
  </w:style>
  <w:style w:type="character" w:styleId="C34">
    <w:name w:val="WW8Num4z4"/>
    <w:rPr/>
  </w:style>
  <w:style w:type="character" w:styleId="C35">
    <w:name w:val="WW8Num4z5"/>
    <w:rPr/>
  </w:style>
  <w:style w:type="character" w:styleId="C36">
    <w:name w:val="WW8Num4z6"/>
    <w:rPr/>
  </w:style>
  <w:style w:type="character" w:styleId="C37">
    <w:name w:val="WW8Num4z7"/>
    <w:rPr/>
  </w:style>
  <w:style w:type="character" w:styleId="C38">
    <w:name w:val="WW8Num4z8"/>
    <w:rPr/>
  </w:style>
  <w:style w:type="character" w:styleId="C39">
    <w:name w:val="WW8Num5z0"/>
    <w:rPr>
      <w:b w:val="0"/>
      <w:sz w:val="24"/>
    </w:rPr>
  </w:style>
  <w:style w:type="character" w:styleId="C40">
    <w:name w:val="WW8Num5z1"/>
    <w:rPr/>
  </w:style>
  <w:style w:type="character" w:styleId="C41">
    <w:name w:val="WW8Num5z2"/>
    <w:rPr/>
  </w:style>
  <w:style w:type="character" w:styleId="C42">
    <w:name w:val="WW8Num5z3"/>
    <w:rPr/>
  </w:style>
  <w:style w:type="character" w:styleId="C43">
    <w:name w:val="WW8Num5z4"/>
    <w:rPr/>
  </w:style>
  <w:style w:type="character" w:styleId="C44">
    <w:name w:val="WW8Num5z5"/>
    <w:rPr/>
  </w:style>
  <w:style w:type="character" w:styleId="C45">
    <w:name w:val="WW8Num5z6"/>
    <w:rPr/>
  </w:style>
  <w:style w:type="character" w:styleId="C46">
    <w:name w:val="WW8Num5z7"/>
    <w:rPr/>
  </w:style>
  <w:style w:type="character" w:styleId="C47">
    <w:name w:val="WW8Num5z8"/>
    <w:rPr/>
  </w:style>
  <w:style w:type="character" w:styleId="C48">
    <w:name w:val="Domyślna czcionka akapitu1"/>
    <w:rPr/>
  </w:style>
  <w:style w:type="character" w:styleId="C49">
    <w:name w:val="page number"/>
    <w:basedOn w:val="C48"/>
    <w:rPr/>
  </w:style>
  <w:style w:type="character" w:styleId="C50">
    <w:name w:val="Tekst przypisu końcowego Znak"/>
    <w:basedOn w:val="C48"/>
    <w:rPr/>
  </w:style>
  <w:style w:type="character" w:styleId="C51">
    <w:name w:val="Znaki przypisów końcowych"/>
    <w:rPr>
      <w:vertAlign w:val="superscript"/>
    </w:rPr>
  </w:style>
  <w:style w:type="character" w:styleId="C52">
    <w:name w:val="Nagłówek Znak"/>
    <w:basedOn w:val="C48"/>
    <w:rPr/>
  </w:style>
  <w:style w:type="character" w:styleId="C53">
    <w:name w:val="Stopka Znak"/>
    <w:rPr/>
  </w:style>
  <w:style w:type="character" w:styleId="C54">
    <w:name w:val="annotation reference"/>
    <w:semiHidden/>
    <w:rPr>
      <w:sz w:val="16"/>
    </w:rPr>
  </w:style>
  <w:style w:type="character" w:styleId="C55">
    <w:name w:val="Tekst komentarza Znak"/>
    <w:link w:val="P13"/>
    <w:semiHidden/>
    <w:rPr/>
  </w:style>
  <w:style w:type="character" w:styleId="C56">
    <w:name w:val="Temat komentarza Znak"/>
    <w:link w:val="P14"/>
    <w:semiHidden/>
    <w:rPr>
      <w:b w:val="1"/>
    </w:rPr>
  </w:style>
  <w:style w:type="character" w:styleId="C57">
    <w:name w:val="Tekst dymka Znak"/>
    <w:link w:val="P15"/>
    <w:semiHidden/>
    <w:rPr>
      <w:rFonts w:ascii="Segoe UI" w:hAnsi="Segoe UI"/>
      <w:sz w:val="18"/>
    </w:rPr>
  </w:style>
  <w:style w:type="character" w:styleId="C58">
    <w:name w:val="endnote reference"/>
    <w:semiHidden/>
    <w:rPr>
      <w:vertAlign w:val="superscript"/>
    </w:rPr>
  </w:style>
  <w:style w:type="character" w:styleId="C59">
    <w:name w:val="Unresolved Mention"/>
    <w:semiHidden/>
    <w:rPr>
      <w:color w:val="605E5C"/>
      <w:shd w:val="clear" w:fill="E1DFDD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<?xml version="1.0" encoding="utf-8"?><Relationships xmlns="http://schemas.openxmlformats.org/package/2006/relationships"><Relationship Id="RelFtr1" Type="http://schemas.openxmlformats.org/officeDocument/2006/relationships/footer" Target="footer1.xml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/Relationships>
</file>